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0070C0"/>
          <w:sz w:val="32"/>
          <w:szCs w:val="32"/>
          <w:lang w:val="en-US" w:eastAsia="zh-CN"/>
        </w:rPr>
      </w:pPr>
      <w:r>
        <w:rPr>
          <w:rFonts w:hint="eastAsia" w:ascii="宋体" w:hAnsi="宋体" w:eastAsia="宋体" w:cs="宋体"/>
          <w:b/>
          <w:bCs/>
          <w:sz w:val="48"/>
          <w:szCs w:val="48"/>
          <w:lang w:val="en-US" w:eastAsia="zh-CN"/>
        </w:rPr>
        <w:t>前海新流大数据保险代理（深圳）有限公司客户告知书</w:t>
      </w:r>
    </w:p>
    <w:p>
      <w:pPr>
        <w:jc w:val="center"/>
        <w:rPr>
          <w:rFonts w:hint="eastAsia" w:ascii="宋体" w:hAnsi="宋体" w:eastAsia="宋体" w:cs="宋体"/>
          <w:b/>
          <w:bCs/>
          <w:color w:val="0070C0"/>
          <w:sz w:val="32"/>
          <w:szCs w:val="32"/>
          <w:lang w:val="en-US" w:eastAsia="zh-CN"/>
        </w:rPr>
      </w:pPr>
    </w:p>
    <w:p>
      <w:pPr>
        <w:jc w:val="center"/>
        <w:rPr>
          <w:rFonts w:hint="eastAsia" w:ascii="宋体" w:hAnsi="宋体" w:eastAsia="宋体" w:cs="宋体"/>
          <w:b/>
          <w:bCs/>
          <w:color w:val="0070C0"/>
          <w:sz w:val="32"/>
          <w:szCs w:val="32"/>
          <w:lang w:val="en-US" w:eastAsia="zh-CN"/>
        </w:rPr>
      </w:pPr>
      <w:r>
        <w:rPr>
          <w:rFonts w:hint="eastAsia" w:ascii="宋体" w:hAnsi="宋体" w:eastAsia="宋体" w:cs="宋体"/>
          <w:b/>
          <w:bCs/>
          <w:color w:val="0070C0"/>
          <w:sz w:val="32"/>
          <w:szCs w:val="32"/>
          <w:lang w:val="en-US" w:eastAsia="zh-CN"/>
        </w:rPr>
        <w:t>经营保险代理业务许可证</w:t>
      </w:r>
    </w:p>
    <w:p>
      <w:pPr>
        <w:jc w:val="left"/>
        <w:rPr>
          <w:rFonts w:hint="eastAsia" w:ascii="宋体" w:hAnsi="宋体" w:eastAsia="宋体" w:cs="宋体"/>
          <w:b/>
          <w:bCs/>
          <w:sz w:val="48"/>
          <w:szCs w:val="48"/>
          <w:lang w:val="en-US" w:eastAsia="zh-CN"/>
        </w:rPr>
      </w:pPr>
      <w:r>
        <w:drawing>
          <wp:inline distT="0" distB="0" distL="114300" distR="114300">
            <wp:extent cx="5263515" cy="3662680"/>
            <wp:effectExtent l="0" t="0" r="1333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63515" cy="3662680"/>
                    </a:xfrm>
                    <a:prstGeom prst="rect">
                      <a:avLst/>
                    </a:prstGeom>
                    <a:noFill/>
                    <a:ln w="9525">
                      <a:noFill/>
                    </a:ln>
                  </pic:spPr>
                </pic:pic>
              </a:graphicData>
            </a:graphic>
          </wp:inline>
        </w:drawing>
      </w: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bookmarkStart w:id="0" w:name="_GoBack"/>
      <w:bookmarkEnd w:id="0"/>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color w:val="0070C0"/>
          <w:sz w:val="32"/>
          <w:szCs w:val="32"/>
          <w:lang w:val="en-US" w:eastAsia="zh-CN"/>
        </w:rPr>
      </w:pPr>
      <w:r>
        <w:rPr>
          <w:rFonts w:hint="eastAsia" w:ascii="宋体" w:hAnsi="宋体" w:eastAsia="宋体" w:cs="宋体"/>
          <w:b/>
          <w:bCs/>
          <w:color w:val="0070C0"/>
          <w:sz w:val="32"/>
          <w:szCs w:val="32"/>
          <w:lang w:val="en-US" w:eastAsia="zh-CN"/>
        </w:rPr>
        <w:t>前海新流大数据保险代理（深圳）有限公司营业执照</w:t>
      </w:r>
    </w:p>
    <w:p>
      <w:pPr>
        <w:jc w:val="left"/>
        <w:rPr>
          <w:rFonts w:hint="eastAsia" w:ascii="宋体" w:hAnsi="宋体" w:eastAsia="宋体" w:cs="宋体"/>
          <w:b/>
          <w:bCs/>
          <w:sz w:val="48"/>
          <w:szCs w:val="48"/>
          <w:lang w:val="en-US" w:eastAsia="zh-CN"/>
        </w:rPr>
      </w:pPr>
      <w:r>
        <w:drawing>
          <wp:inline distT="0" distB="0" distL="114300" distR="114300">
            <wp:extent cx="5271770" cy="7486650"/>
            <wp:effectExtent l="0" t="0" r="508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770" cy="7486650"/>
                    </a:xfrm>
                    <a:prstGeom prst="rect">
                      <a:avLst/>
                    </a:prstGeom>
                    <a:noFill/>
                    <a:ln w="9525">
                      <a:noFill/>
                    </a:ln>
                  </pic:spPr>
                </pic:pic>
              </a:graphicData>
            </a:graphic>
          </wp:inline>
        </w:drawing>
      </w: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jc w:val="left"/>
        <w:rPr>
          <w:rFonts w:hint="eastAsia" w:ascii="宋体" w:hAnsi="宋体" w:eastAsia="宋体" w:cs="宋体"/>
          <w:b/>
          <w:bCs/>
          <w:sz w:val="48"/>
          <w:szCs w:val="48"/>
          <w:lang w:val="en-US" w:eastAsia="zh-CN"/>
        </w:rPr>
      </w:pPr>
    </w:p>
    <w:p>
      <w:pPr>
        <w:keepNext w:val="0"/>
        <w:keepLines w:val="0"/>
        <w:widowControl/>
        <w:suppressLineNumbers w:val="0"/>
        <w:pBdr>
          <w:top w:val="none" w:color="333333" w:sz="0" w:space="0"/>
          <w:left w:val="none" w:color="333333" w:sz="0" w:space="0"/>
          <w:bottom w:val="none" w:color="333333" w:sz="0" w:space="0"/>
          <w:right w:val="none" w:color="333333" w:sz="0" w:space="0"/>
        </w:pBdr>
        <w:spacing w:before="0" w:beforeAutospacing="0" w:after="0" w:afterAutospacing="0"/>
        <w:ind w:left="0" w:right="0" w:firstLine="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尊敬的客户：</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感谢您委托我公司（安心保保险网：</w:t>
      </w: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"http://www.anxinbx.com/"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Fonts w:hint="eastAsia" w:ascii="宋体" w:hAnsi="宋体" w:eastAsia="宋体" w:cs="宋体"/>
          <w:i w:val="0"/>
          <w:caps w:val="0"/>
          <w:color w:val="333333"/>
          <w:spacing w:val="0"/>
          <w:kern w:val="0"/>
          <w:sz w:val="24"/>
          <w:szCs w:val="24"/>
          <w:u w:val="none"/>
          <w:lang w:val="en-US" w:eastAsia="zh-CN" w:bidi="ar"/>
        </w:rPr>
        <w:t>http://www.anxinbx.com/</w:t>
      </w:r>
      <w:r>
        <w:rPr>
          <w:rFonts w:hint="eastAsia" w:ascii="宋体" w:hAnsi="宋体" w:eastAsia="宋体" w:cs="宋体"/>
          <w:i w:val="0"/>
          <w:caps w:val="0"/>
          <w:color w:val="333333"/>
          <w:spacing w:val="0"/>
          <w:kern w:val="0"/>
          <w:sz w:val="24"/>
          <w:szCs w:val="24"/>
          <w:u w:val="none"/>
          <w:lang w:val="en-US" w:eastAsia="zh-CN" w:bidi="ar"/>
        </w:rPr>
        <w:fldChar w:fldCharType="end"/>
      </w:r>
      <w:r>
        <w:rPr>
          <w:rFonts w:hint="eastAsia" w:ascii="宋体" w:hAnsi="宋体" w:eastAsia="宋体" w:cs="宋体"/>
          <w:i w:val="0"/>
          <w:caps w:val="0"/>
          <w:color w:val="333333"/>
          <w:spacing w:val="0"/>
          <w:kern w:val="0"/>
          <w:sz w:val="24"/>
          <w:szCs w:val="24"/>
          <w:u w:val="none"/>
          <w:lang w:val="en-US" w:eastAsia="zh-CN" w:bidi="ar"/>
        </w:rPr>
        <w:t>）代为办理保险业务。为了保护您的合法权益，按照《保险专业代理机构监管规定（2015年修订）》及《互联网保险业务监管暂行办法》的要求，本公司应履行客户告知义务，现将有关事项告知如下，请仔细阅读。</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一、公司基本情况</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（一）名称：前海新流大数据保险代理（深圳）有限公司</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（二）地址：深圳市福田区福华一路138号国际商会大厦B座1614室</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（三）许可证名称及编号：经营保险代理业务许可证</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（四）业务范围：在全国区域内（港澳台除外）代理销售保险产品；代理收取保险费；代理相关保险业务的损失勘查和理赔；中国保监会批准的其他业务。</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（五）经营区域： 全国（港、澳、台除外）</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（六）客服及投诉电话：0755—23304395 </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前海新流大数据保险代理（深圳）有限公司的高级管理人员与被代理保险公司及其他保险中介机构不存在关联关系。</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投保前请您仔细阅读保险条款，保险产品的公告、广告、彩页等宣传材料不属于保险合同的组成部分。本公司在收到投保人的投保信息后，视作投保人已经完整阅读并了解以上投保须知及投保险种的保险条款，尤其是对其中免除保险人责任的条款或约定（包括但不限于责任免除、投保人被保险人义务、保险金申请与给付等），投保人已充分理解并接受上述内容，同意以此作为订立保险合同的依据。</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如实告知</w:t>
      </w:r>
    </w:p>
    <w:p>
      <w:pPr>
        <w:keepNext w:val="0"/>
        <w:keepLines w:val="0"/>
        <w:pageBreakBefore w:val="0"/>
        <w:widowControl/>
        <w:numPr>
          <w:ilvl w:val="0"/>
          <w:numId w:val="2"/>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您应如实填写投保信息，并就我们提出的询问据实告知,否则我们有权根据《中华人民共和国保险法》第十六条的规定解除保险合同且不承担赔偿责任。</w:t>
      </w:r>
    </w:p>
    <w:p>
      <w:pPr>
        <w:keepNext w:val="0"/>
        <w:keepLines w:val="0"/>
        <w:pageBreakBefore w:val="0"/>
        <w:widowControl/>
        <w:numPr>
          <w:ilvl w:val="0"/>
          <w:numId w:val="2"/>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订立保险合同时，保险公司就保险标的或者被保险人的有关情况提出询问的，投保人应当如实告知。</w:t>
      </w:r>
    </w:p>
    <w:p>
      <w:pPr>
        <w:keepNext w:val="0"/>
        <w:keepLines w:val="0"/>
        <w:pageBreakBefore w:val="0"/>
        <w:widowControl/>
        <w:numPr>
          <w:ilvl w:val="0"/>
          <w:numId w:val="2"/>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投保人故意或者因重大过失未履行前款规定的如实告知义务，足以影响保险公司决定是否同意承保或者提高保险费率的，保险公司有权解除合同。</w:t>
      </w:r>
    </w:p>
    <w:p>
      <w:pPr>
        <w:keepNext w:val="0"/>
        <w:keepLines w:val="0"/>
        <w:pageBreakBefore w:val="0"/>
        <w:widowControl/>
        <w:numPr>
          <w:ilvl w:val="0"/>
          <w:numId w:val="2"/>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投保人故意不履行如实告知义务的，保险公司对于合同解除前发生的保险事故，不承担赔偿责任，并不退还保险费。</w:t>
      </w:r>
    </w:p>
    <w:p>
      <w:pPr>
        <w:keepNext w:val="0"/>
        <w:keepLines w:val="0"/>
        <w:pageBreakBefore w:val="0"/>
        <w:widowControl/>
        <w:numPr>
          <w:ilvl w:val="0"/>
          <w:numId w:val="2"/>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投保人因重大过失未履行如实告知义务，对保险事故的发生有严重影响的，保险公司对于合同解除前发生的保险事故，不承担赔偿责任，但退还保险费。</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信息变更：如果您的邮件地址、通信地址、邮编、联系电话发生变化，请联系本司客服或与保险公司客户服务电话联系，办理变更事宜。</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 xml:space="preserve"> 委托自动扣款</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如您在投保前同意了委托自动扣款协议，为保证保险合同及时生效，保险机构将根据您填写的账号信息和投保单信息进行自动扣款。</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本公司承诺将通过有效的技术手段和管理措施对投保人（被保险人或受益人）的个人信息、投保交易信息等非公开信息进行保密，严格限制保密信息的接触人，妥善保管保密信息；并在与保险公司的数据交换过程中采用了加密与验证保证交易安全。</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如果您发现本公司工作人员存在误导行为及其他损害您合法权益的行为，可向本公司投诉，投诉电话0755—23304395。</w:t>
      </w:r>
    </w:p>
    <w:p>
      <w:pPr>
        <w:keepNext w:val="0"/>
        <w:keepLines w:val="0"/>
        <w:pageBreakBefore w:val="0"/>
        <w:widowControl/>
        <w:numPr>
          <w:ilvl w:val="0"/>
          <w:numId w:val="0"/>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numPr>
          <w:ilvl w:val="0"/>
          <w:numId w:val="1"/>
        </w:numPr>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保险产品全流程支付方式：</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保费收取方式：银行转账或委托自动扣款</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撤单支付方式：银行转账</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理赔支付方式：银行转账（理赔服务根据各保险公司公布信息为准。</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十、电子保单及纸质保单</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前海新流大数据保险代理（深圳）有限公司所代理销售的保险产品，均由承保的保险公司提供电子保单或者纸质保单。</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电子保单数据电文是合法的合同表现形式，电子保单与纸质保单具有同等法律效力，请妥善保存。</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电子保单可在承保的保险公司网站上查询和下载。</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十、保险发票</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保险发票可承保后拨打本公司客服电话咨询发票索要途径。</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十一、保单查询及投保人查询、投诉渠道、举报热线</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平安财产保险客服电话（95511*5），深圳市福田区益田路5033号平安金融中心12、13、38、39、40层。；</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太平洋寿险客服热线（95500），上海市吴淞路400号；</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太平洋财险客服热线（021-95500），上海市虹口区吴淞路400号；</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太平财险客服热线（95589），广东省深圳市福田区益田路6001号太平金融大厦33层；</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华安财险客服热线（95556）深圳市罗湖区深南东路5015号金丰城大厦2层A23楼；</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中国人民财险客服热线(95591)，上海市中山南路700号；</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华泰财产保险客服电话（40060 95509），北京市西城区金融大街35号国企大厦B座19层；</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易安在线客服热线4000-121212深圳市福田区天安数码城创新科技广场I期B座1011</w:t>
      </w: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p>
    <w:tbl>
      <w:tblPr>
        <w:tblStyle w:val="5"/>
        <w:tblW w:w="8756" w:type="dxa"/>
        <w:tblInd w:w="0" w:type="dxa"/>
        <w:tblLayout w:type="fixed"/>
        <w:tblCellMar>
          <w:top w:w="0" w:type="dxa"/>
          <w:left w:w="108" w:type="dxa"/>
          <w:bottom w:w="0" w:type="dxa"/>
          <w:right w:w="108" w:type="dxa"/>
        </w:tblCellMar>
      </w:tblPr>
      <w:tblGrid>
        <w:gridCol w:w="3516"/>
        <w:gridCol w:w="5240"/>
      </w:tblGrid>
      <w:tr>
        <w:tblPrEx>
          <w:tblLayout w:type="fixed"/>
          <w:tblCellMar>
            <w:top w:w="0" w:type="dxa"/>
            <w:left w:w="108" w:type="dxa"/>
            <w:bottom w:w="0" w:type="dxa"/>
            <w:right w:w="108" w:type="dxa"/>
          </w:tblCellMar>
        </w:tblPrEx>
        <w:trPr>
          <w:trHeight w:val="270" w:hRule="atLeast"/>
        </w:trPr>
        <w:tc>
          <w:tcPr>
            <w:tcW w:w="3516"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保险公司名称</w:t>
            </w:r>
          </w:p>
        </w:tc>
        <w:tc>
          <w:tcPr>
            <w:tcW w:w="5240" w:type="dxa"/>
            <w:tcBorders>
              <w:top w:val="single" w:color="auto" w:sz="4" w:space="0"/>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营业网点所在省份及地区</w:t>
            </w:r>
          </w:p>
        </w:tc>
      </w:tr>
      <w:tr>
        <w:tblPrEx>
          <w:tblLayout w:type="fixed"/>
          <w:tblCellMar>
            <w:top w:w="0" w:type="dxa"/>
            <w:left w:w="108" w:type="dxa"/>
            <w:bottom w:w="0" w:type="dxa"/>
            <w:right w:w="108" w:type="dxa"/>
          </w:tblCellMar>
        </w:tblPrEx>
        <w:trPr>
          <w:trHeight w:val="108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中国平安财产保险股份有限公司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上海 江苏 湖北 甘肃 大连 苏州 佛山 东莞 辽宁 安徽 厦门 福建 青岛 天津 海南 广东 山东 内蒙古 贵州 四川 浙江 山西 广西 陕西 无锡 河南 云南 重庆 宁波 河北 新疆 北京 黑龙江 西宁 吉林 江西 湖南 宁夏 西藏 深圳</w:t>
            </w:r>
          </w:p>
        </w:tc>
      </w:tr>
      <w:tr>
        <w:tblPrEx>
          <w:tblLayout w:type="fixed"/>
          <w:tblCellMar>
            <w:top w:w="0" w:type="dxa"/>
            <w:left w:w="108" w:type="dxa"/>
            <w:bottom w:w="0" w:type="dxa"/>
            <w:right w:w="108" w:type="dxa"/>
          </w:tblCellMar>
        </w:tblPrEx>
        <w:trPr>
          <w:trHeight w:val="135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中国太平洋人寿保险股份有限公司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北京市、上海市、天津市、重庆市、黑龙江省、吉林省、辽宁省、河北省、山西省、山东省、安徽省、江苏省、浙江省、福建省、江西省、广东省、海南省、广西壮族自治区、湖南省、湖北省、河南省、云南省、贵州省、四川省、陕西省、甘肃省、新疆维吾尔自治区、宁夏回族自治区、内蒙古自治区、青海省。</w:t>
            </w:r>
          </w:p>
        </w:tc>
      </w:tr>
      <w:tr>
        <w:tblPrEx>
          <w:tblLayout w:type="fixed"/>
          <w:tblCellMar>
            <w:top w:w="0" w:type="dxa"/>
            <w:left w:w="108" w:type="dxa"/>
            <w:bottom w:w="0" w:type="dxa"/>
            <w:right w:w="108" w:type="dxa"/>
          </w:tblCellMar>
        </w:tblPrEx>
        <w:trPr>
          <w:trHeight w:val="558"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中国太平洋财产保险股份有限公司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北京市、上海市、天津市、重庆市、黑龙江省、吉林省、辽宁省、河北省、山西省、山东省、安徽省、江苏省、浙江省、福建省、江西省、广东省、海南省、广西壮族自治区、湖南省、湖北省、河南省、云南省、贵州省、四川省、陕西省、甘肃省、新疆维吾尔自治区、宁夏回族自治区、内蒙古自治区、青海省、西藏自治区。</w:t>
            </w:r>
          </w:p>
        </w:tc>
      </w:tr>
      <w:tr>
        <w:tblPrEx>
          <w:tblLayout w:type="fixed"/>
          <w:tblCellMar>
            <w:top w:w="0" w:type="dxa"/>
            <w:left w:w="108" w:type="dxa"/>
            <w:bottom w:w="0" w:type="dxa"/>
            <w:right w:w="108" w:type="dxa"/>
          </w:tblCellMar>
        </w:tblPrEx>
        <w:trPr>
          <w:trHeight w:val="81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太平财产保险有限公司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北京、广东、上海、深圳、天津、湖北、大连、浙江、四川、江苏、山东、河南、青岛、湖南、重庆、福建、山西、陕西、安徽、辽宁、河北、云南、贵州、宁波、黑龙江、广西、厦门、苏州、内蒙古、江西、吉林等。</w:t>
            </w:r>
          </w:p>
        </w:tc>
      </w:tr>
      <w:tr>
        <w:tblPrEx>
          <w:tblLayout w:type="fixed"/>
          <w:tblCellMar>
            <w:top w:w="0" w:type="dxa"/>
            <w:left w:w="108" w:type="dxa"/>
            <w:bottom w:w="0" w:type="dxa"/>
            <w:right w:w="108" w:type="dxa"/>
          </w:tblCellMar>
        </w:tblPrEx>
        <w:trPr>
          <w:trHeight w:val="81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华安财产保险股份有限公司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北京、上海、深圳、广东、湖南、福建、广西、江苏、四川、浙江、大连、山东、重庆、云南、陕西、辽宁、江西、山西、天津、安徽湖北、河南、宁波、黑龙江、河北、贵州、青岛、内蒙古、吉林、海南。</w:t>
            </w:r>
          </w:p>
        </w:tc>
      </w:tr>
      <w:tr>
        <w:tblPrEx>
          <w:tblLayout w:type="fixed"/>
          <w:tblCellMar>
            <w:top w:w="0" w:type="dxa"/>
            <w:left w:w="108" w:type="dxa"/>
            <w:bottom w:w="0" w:type="dxa"/>
            <w:right w:w="108" w:type="dxa"/>
          </w:tblCellMar>
        </w:tblPrEx>
        <w:trPr>
          <w:trHeight w:val="102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中国人民财产保险股份有限公司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北京 天津 河北 山西 内蒙古 辽宁 吉林 黑龙江 上海 江苏 浙江 安徽 福建 江西 山东 河南 湖北 湖南 广东 广西 海南 重庆 四川 贵州 云南 西藏 陕西 甘肃 青海 宁夏 新疆 大连 青岛 厦门</w:t>
            </w:r>
            <w:r>
              <w:rPr>
                <w:rFonts w:hint="eastAsia" w:ascii="宋体" w:hAnsi="宋体" w:eastAsia="宋体" w:cs="宋体"/>
                <w:i w:val="0"/>
                <w:caps w:val="0"/>
                <w:color w:val="333333"/>
                <w:spacing w:val="0"/>
                <w:kern w:val="0"/>
                <w:sz w:val="24"/>
                <w:szCs w:val="24"/>
                <w:u w:val="none"/>
                <w:lang w:val="en-US" w:eastAsia="zh-CN" w:bidi="ar"/>
              </w:rPr>
              <w:br w:type="textWrapping"/>
            </w:r>
            <w:r>
              <w:rPr>
                <w:rFonts w:hint="eastAsia" w:ascii="宋体" w:hAnsi="宋体" w:eastAsia="宋体" w:cs="宋体"/>
                <w:i w:val="0"/>
                <w:caps w:val="0"/>
                <w:color w:val="333333"/>
                <w:spacing w:val="0"/>
                <w:kern w:val="0"/>
                <w:sz w:val="24"/>
                <w:szCs w:val="24"/>
                <w:u w:val="none"/>
                <w:lang w:val="en-US" w:eastAsia="zh-CN" w:bidi="ar"/>
              </w:rPr>
              <w:t>宁波 深圳 杭州 广州</w:t>
            </w:r>
          </w:p>
        </w:tc>
      </w:tr>
      <w:tr>
        <w:tblPrEx>
          <w:tblLayout w:type="fixed"/>
          <w:tblCellMar>
            <w:top w:w="0" w:type="dxa"/>
            <w:left w:w="108" w:type="dxa"/>
            <w:bottom w:w="0" w:type="dxa"/>
            <w:right w:w="108" w:type="dxa"/>
          </w:tblCellMar>
        </w:tblPrEx>
        <w:trPr>
          <w:trHeight w:val="81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华泰财产保险有限公司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北京、上海、天津、重庆、江苏、广东、陕西、四川、云南、辽宁、浙江、河北、湖南、湖北、安徽、山西、福建、山东、广西、河南、江西、深圳、青岛、大连、宁波、贵州、内蒙、厦门、黑龙江、新疆、吉林、宁夏</w:t>
            </w:r>
          </w:p>
        </w:tc>
      </w:tr>
      <w:tr>
        <w:tblPrEx>
          <w:tblLayout w:type="fixed"/>
          <w:tblCellMar>
            <w:top w:w="0" w:type="dxa"/>
            <w:left w:w="108" w:type="dxa"/>
            <w:bottom w:w="0" w:type="dxa"/>
            <w:right w:w="108" w:type="dxa"/>
          </w:tblCellMar>
        </w:tblPrEx>
        <w:trPr>
          <w:trHeight w:val="270" w:hRule="atLeast"/>
        </w:trPr>
        <w:tc>
          <w:tcPr>
            <w:tcW w:w="3516" w:type="dxa"/>
            <w:tcBorders>
              <w:top w:val="nil"/>
              <w:left w:val="single" w:color="auto" w:sz="4" w:space="0"/>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易安财产保险股份有限公司</w:t>
            </w:r>
          </w:p>
        </w:tc>
        <w:tc>
          <w:tcPr>
            <w:tcW w:w="5240" w:type="dxa"/>
            <w:tcBorders>
              <w:top w:val="nil"/>
              <w:left w:val="nil"/>
              <w:bottom w:val="single" w:color="auto" w:sz="4" w:space="0"/>
              <w:right w:val="single" w:color="auto" w:sz="4" w:space="0"/>
            </w:tcBorders>
            <w:shd w:val="clear" w:color="auto" w:fill="auto"/>
            <w:vAlign w:val="bottom"/>
          </w:tcPr>
          <w:p>
            <w:pPr>
              <w:keepNext w:val="0"/>
              <w:keepLines w:val="0"/>
              <w:pageBreakBefore w:val="0"/>
              <w:widowControl/>
              <w:suppressLineNumbers w:val="0"/>
              <w:pBdr>
                <w:top w:val="none" w:color="333333" w:sz="0" w:space="0"/>
                <w:left w:val="none" w:color="333333" w:sz="0" w:space="0"/>
                <w:bottom w:val="none" w:color="333333" w:sz="0" w:space="0"/>
                <w:right w:val="none" w:color="333333"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outlineLvl w:val="9"/>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在中华人民共和国境内（港、澳、台地区除外）开展业务。</w:t>
            </w:r>
          </w:p>
        </w:tc>
      </w:tr>
    </w:tbl>
    <w:p>
      <w:pPr>
        <w:pStyle w:val="2"/>
        <w:spacing w:line="300" w:lineRule="atLeast"/>
        <w:rPr>
          <w:rFonts w:hint="eastAsia" w:ascii="宋体" w:hAnsi="宋体" w:eastAsia="宋体" w:cs="宋体"/>
          <w:kern w:val="2"/>
          <w:sz w:val="21"/>
          <w:szCs w:val="2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3F64E"/>
    <w:multiLevelType w:val="singleLevel"/>
    <w:tmpl w:val="56E3F64E"/>
    <w:lvl w:ilvl="0" w:tentative="0">
      <w:start w:val="1"/>
      <w:numFmt w:val="decimal"/>
      <w:suff w:val="nothing"/>
      <w:lvlText w:val="（%1）"/>
      <w:lvlJc w:val="left"/>
    </w:lvl>
  </w:abstractNum>
  <w:abstractNum w:abstractNumId="1">
    <w:nsid w:val="5AF61F4D"/>
    <w:multiLevelType w:val="singleLevel"/>
    <w:tmpl w:val="5AF61F4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58650E"/>
    <w:rsid w:val="1AA62CF6"/>
    <w:rsid w:val="1E3D79E4"/>
    <w:rsid w:val="1ECD1982"/>
    <w:rsid w:val="21194CB1"/>
    <w:rsid w:val="24193930"/>
    <w:rsid w:val="24E11D11"/>
    <w:rsid w:val="2B0F7655"/>
    <w:rsid w:val="308A3ACC"/>
    <w:rsid w:val="323E49EF"/>
    <w:rsid w:val="338A2195"/>
    <w:rsid w:val="363B3C85"/>
    <w:rsid w:val="402525E9"/>
    <w:rsid w:val="443067BD"/>
    <w:rsid w:val="46EC3FD4"/>
    <w:rsid w:val="4B22125F"/>
    <w:rsid w:val="64565150"/>
    <w:rsid w:val="67E52D96"/>
    <w:rsid w:val="70551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2018-07-26T09:14:54Z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